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5D183">
      <w:pPr>
        <w:spacing w:after="0" w:line="24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w:t>
      </w:r>
      <w:bookmarkStart w:id="0" w:name="OLE_LINK15"/>
      <w:bookmarkStart w:id="1" w:name="OLE_LINK14"/>
      <w:r>
        <w:rPr>
          <w:rFonts w:hint="eastAsia" w:ascii="方正小标宋简体" w:hAnsi="方正小标宋简体" w:eastAsia="方正小标宋简体" w:cs="方正小标宋简体"/>
          <w:b w:val="0"/>
          <w:bCs w:val="0"/>
          <w:sz w:val="44"/>
          <w:szCs w:val="44"/>
        </w:rPr>
        <w:t>青椒</w:t>
      </w:r>
      <w:bookmarkEnd w:id="0"/>
      <w:r>
        <w:rPr>
          <w:rFonts w:hint="eastAsia" w:ascii="方正小标宋简体" w:hAnsi="方正小标宋简体" w:eastAsia="方正小标宋简体" w:cs="方正小标宋简体"/>
          <w:b w:val="0"/>
          <w:bCs w:val="0"/>
          <w:sz w:val="44"/>
          <w:szCs w:val="44"/>
        </w:rPr>
        <w:t>智汇</w:t>
      </w:r>
      <w:bookmarkEnd w:id="1"/>
      <w:r>
        <w:rPr>
          <w:rFonts w:hint="eastAsia" w:ascii="方正小标宋简体" w:hAnsi="方正小标宋简体" w:eastAsia="方正小标宋简体" w:cs="方正小标宋简体"/>
          <w:b w:val="0"/>
          <w:bCs w:val="0"/>
          <w:sz w:val="44"/>
          <w:szCs w:val="44"/>
        </w:rPr>
        <w:t>”学术沙龙实施方案</w:t>
      </w:r>
    </w:p>
    <w:p w14:paraId="29D962C8">
      <w:pPr>
        <w:spacing w:after="0" w:line="240" w:lineRule="auto"/>
        <w:rPr>
          <w:b/>
          <w:bCs/>
          <w:sz w:val="24"/>
        </w:rPr>
      </w:pPr>
    </w:p>
    <w:p w14:paraId="3F23759E">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一、指导思想与总体目标</w:t>
      </w:r>
    </w:p>
    <w:p w14:paraId="6D358DFF">
      <w:pPr>
        <w:keepNext w:val="0"/>
        <w:keepLines w:val="0"/>
        <w:pageBreakBefore w:val="0"/>
        <w:widowControl w:val="0"/>
        <w:kinsoku/>
        <w:wordWrap/>
        <w:overflowPunct/>
        <w:topLinePunct w:val="0"/>
        <w:autoSpaceDE/>
        <w:autoSpaceDN/>
        <w:bidi w:val="0"/>
        <w:adjustRightInd/>
        <w:snapToGrid/>
        <w:spacing w:after="0" w:line="580" w:lineRule="exact"/>
        <w:ind w:firstLine="616"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为深入贯彻落实《教育部等六部门关于加强新时代高校青年教师队伍建设的指导意见》精神，遵循青年教师成长发展规律，吉首大学“青椒智汇”学术沙龙旨在通过常态化的学术交流机制，全面提升提升青年教师科研项目申报能力（尤其是国家自然科学基金、社科基金的申报质量），提升学术论文撰写与发表能力，促进科技成果转化与产学研合作交流能力，营造自由思考、勇于创新、大胆争鸣的学术氛围。重点解决青年教师普遍面临的“学术起步阶段支持资源不足、申请项目难、发表论文难”等现实困扰。通过搭建“有温度、有精度、有力度”的青年教师成长支持平台，实现从“压力驱动”向“支持激励”的转变，促进学校科研工作高质量发展。</w:t>
      </w:r>
    </w:p>
    <w:p w14:paraId="63884985">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二、组织架构与职责分工</w:t>
      </w:r>
    </w:p>
    <w:p w14:paraId="7E79723E">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（一）领导机构</w:t>
      </w:r>
    </w:p>
    <w:p w14:paraId="1420A931">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成立“青椒智汇”工作领导小组，由分管科研工作的校领导担任组长，科研管理处处长担任副组长，成员包括各学院院长及相关职能部门负责人。</w:t>
      </w:r>
    </w:p>
    <w:p w14:paraId="4407693C">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（二）执行机构</w:t>
      </w:r>
    </w:p>
    <w:p w14:paraId="6B5CF19E">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科研管理处：</w:t>
      </w:r>
      <w:r>
        <w:rPr>
          <w:rFonts w:hint="eastAsia" w:ascii="仿宋_GB2312" w:hAnsi="仿宋_GB2312" w:eastAsia="仿宋_GB2312" w:cs="仿宋_GB2312"/>
          <w:sz w:val="32"/>
          <w:szCs w:val="32"/>
        </w:rPr>
        <w:t>作为牵头单位，负责顶层设计、经费统筹、考核评估、跨学院协调等工作。</w:t>
      </w:r>
    </w:p>
    <w:p w14:paraId="67AE3DE5">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项目团队：</w:t>
      </w:r>
      <w:r>
        <w:rPr>
          <w:rFonts w:hint="eastAsia" w:ascii="仿宋_GB2312" w:hAnsi="仿宋_GB2312" w:eastAsia="仿宋_GB2312" w:cs="仿宋_GB2312"/>
          <w:sz w:val="32"/>
          <w:szCs w:val="32"/>
        </w:rPr>
        <w:t>按理、工、医、文、管、艺六个学科领域分别组建，每个领域可以</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几个学院构成，每个团队由学院遴选有</w:t>
      </w:r>
      <w:r>
        <w:rPr>
          <w:rFonts w:hint="eastAsia" w:ascii="仿宋_GB2312" w:hAnsi="仿宋_GB2312" w:eastAsia="仿宋_GB2312" w:cs="仿宋_GB2312"/>
          <w:sz w:val="32"/>
          <w:szCs w:val="32"/>
          <w:u w:val="none"/>
        </w:rPr>
        <w:t>一定学术影响力的</w:t>
      </w:r>
      <w:r>
        <w:rPr>
          <w:rFonts w:hint="eastAsia" w:ascii="仿宋_GB2312" w:hAnsi="仿宋_GB2312" w:eastAsia="仿宋_GB2312" w:cs="仿宋_GB2312"/>
          <w:sz w:val="32"/>
          <w:szCs w:val="32"/>
          <w:u w:val="none"/>
          <w:lang w:val="en-US" w:eastAsia="zh-CN"/>
        </w:rPr>
        <w:t>青年骨干</w:t>
      </w:r>
      <w:r>
        <w:rPr>
          <w:rFonts w:hint="eastAsia" w:ascii="仿宋_GB2312" w:hAnsi="仿宋_GB2312" w:eastAsia="仿宋_GB2312" w:cs="仿宋_GB2312"/>
          <w:sz w:val="32"/>
          <w:szCs w:val="32"/>
        </w:rPr>
        <w:t>担任负责人。</w:t>
      </w:r>
    </w:p>
    <w:p w14:paraId="165770DE">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专家智库：</w:t>
      </w:r>
      <w:r>
        <w:rPr>
          <w:rFonts w:hint="eastAsia" w:ascii="仿宋_GB2312" w:hAnsi="仿宋_GB2312" w:eastAsia="仿宋_GB2312" w:cs="仿宋_GB2312"/>
          <w:sz w:val="32"/>
          <w:szCs w:val="32"/>
        </w:rPr>
        <w:t>建立涵盖校内外、跨学科的专家资源库，专家类型包括：学科领域资深教授（负责学术指导与经验传承）、科研管理专家（负责项目申报政策解读）、成果转化与产业界专家（负责产学研对接）。</w:t>
      </w:r>
    </w:p>
    <w:p w14:paraId="3391A4D4">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三、项目申报与立项管理</w:t>
      </w:r>
    </w:p>
    <w:p w14:paraId="756D2AFC">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（一）申报流程</w:t>
      </w:r>
    </w:p>
    <w:p w14:paraId="7816FACE">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年初发布通知：</w:t>
      </w:r>
      <w:r>
        <w:rPr>
          <w:rFonts w:hint="eastAsia" w:ascii="仿宋_GB2312" w:hAnsi="仿宋_GB2312" w:eastAsia="仿宋_GB2312" w:cs="仿宋_GB2312"/>
          <w:sz w:val="32"/>
          <w:szCs w:val="32"/>
        </w:rPr>
        <w:t>科研管理处于每年</w:t>
      </w:r>
      <w:r>
        <w:rPr>
          <w:rFonts w:hint="eastAsia" w:ascii="仿宋_GB2312" w:hAnsi="仿宋_GB2312" w:eastAsia="仿宋_GB2312" w:cs="仿宋_GB2312"/>
          <w:sz w:val="32"/>
          <w:szCs w:val="32"/>
          <w:lang w:val="en-US" w:eastAsia="zh-CN"/>
        </w:rPr>
        <w:t>上半年</w:t>
      </w:r>
      <w:r>
        <w:rPr>
          <w:rFonts w:hint="eastAsia" w:ascii="仿宋_GB2312" w:hAnsi="仿宋_GB2312" w:eastAsia="仿宋_GB2312" w:cs="仿宋_GB2312"/>
          <w:sz w:val="32"/>
          <w:szCs w:val="32"/>
        </w:rPr>
        <w:t>发布项目申报通知，明确申报要求、资助额度、预期成果等。</w:t>
      </w:r>
    </w:p>
    <w:p w14:paraId="3BDF2454">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团队自主申报：</w:t>
      </w:r>
      <w:r>
        <w:rPr>
          <w:rFonts w:hint="eastAsia" w:ascii="仿宋_GB2312" w:hAnsi="仿宋_GB2312" w:eastAsia="仿宋_GB2312" w:cs="仿宋_GB2312"/>
          <w:sz w:val="32"/>
          <w:szCs w:val="32"/>
        </w:rPr>
        <w:t>各学院组织青年教师组建项目团队，提交《“青椒智汇”项目申报书》，内容需包含：团队基本情况（负责人学术背景、团队成员构成）；年度活动计划（每月主题、拟邀请专家、预期参与人数）；经费预算；预期成果与考核指标。</w:t>
      </w:r>
    </w:p>
    <w:p w14:paraId="34B2FB98">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专家评审立项：</w:t>
      </w:r>
      <w:r>
        <w:rPr>
          <w:rFonts w:hint="eastAsia" w:ascii="仿宋_GB2312" w:hAnsi="仿宋_GB2312" w:eastAsia="仿宋_GB2312" w:cs="仿宋_GB2312"/>
          <w:sz w:val="32"/>
          <w:szCs w:val="32"/>
        </w:rPr>
        <w:t>科研管理处组织专家对申报材料进行评审，择优立项。全校共立项6个子项目（理、工、医、文、管、艺各1个）。</w:t>
      </w:r>
    </w:p>
    <w:p w14:paraId="516AB455">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（二）项目管理</w:t>
      </w:r>
    </w:p>
    <w:p w14:paraId="059510FA">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每个项目团队须确保每月开展不少于1次学术沙龙活动，全年不少于10次。</w:t>
      </w:r>
    </w:p>
    <w:p w14:paraId="4BE018DE">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次活动须邀请2-4位学科领域专家进行现场指导，参与教师控制在10-20人，确保活动的针对性和实效性。每次活动须聚焦一个核心主题，以诊断、修改、讨论、交流等实操内容为主，避免沦为单向输出的学术讲座。</w:t>
      </w:r>
    </w:p>
    <w:p w14:paraId="6F26ED6A">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四、学术沙龙内容体系</w:t>
      </w:r>
    </w:p>
    <w:p w14:paraId="436EE382">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学术沙龙应聚焦青年教师成长中的关键痛点，根据不同学科特点和青年教师发展阶段，设计差异化的主题内容。以下是各学科可参考的主题方向：</w:t>
      </w:r>
    </w:p>
    <w:p w14:paraId="34DB0402">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基金申报书互助打磨系列</w:t>
      </w:r>
    </w:p>
    <w:tbl>
      <w:tblPr>
        <w:tblStyle w:val="16"/>
        <w:tblW w:w="8535"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1597"/>
        <w:gridCol w:w="5295"/>
      </w:tblGrid>
      <w:tr w14:paraId="2861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3" w:type="dxa"/>
            <w:tcBorders>
              <w:top w:val="single" w:color="auto" w:sz="4" w:space="0"/>
              <w:left w:val="single" w:color="auto" w:sz="4" w:space="0"/>
              <w:bottom w:val="single" w:color="auto" w:sz="4" w:space="0"/>
              <w:right w:val="single" w:color="auto" w:sz="4" w:space="0"/>
            </w:tcBorders>
            <w:vAlign w:val="center"/>
          </w:tcPr>
          <w:p w14:paraId="4207A446">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kern w:val="0"/>
                <w:sz w:val="28"/>
                <w:szCs w:val="28"/>
                <w14:ligatures w14:val="none"/>
              </w:rPr>
            </w:pPr>
            <w:r>
              <w:rPr>
                <w:rFonts w:hint="eastAsia" w:ascii="仿宋_GB2312" w:hAnsi="仿宋_GB2312" w:eastAsia="仿宋_GB2312" w:cs="仿宋_GB2312"/>
                <w:b/>
                <w:bCs/>
                <w:kern w:val="0"/>
                <w:sz w:val="28"/>
                <w:szCs w:val="28"/>
                <w14:ligatures w14:val="none"/>
              </w:rPr>
              <w:t>节点</w:t>
            </w:r>
          </w:p>
        </w:tc>
        <w:tc>
          <w:tcPr>
            <w:tcW w:w="1597" w:type="dxa"/>
            <w:tcBorders>
              <w:top w:val="single" w:color="auto" w:sz="4" w:space="0"/>
              <w:left w:val="single" w:color="auto" w:sz="4" w:space="0"/>
              <w:bottom w:val="single" w:color="auto" w:sz="4" w:space="0"/>
              <w:right w:val="single" w:color="auto" w:sz="4" w:space="0"/>
            </w:tcBorders>
            <w:vAlign w:val="center"/>
          </w:tcPr>
          <w:p w14:paraId="3A35E115">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kern w:val="0"/>
                <w:sz w:val="28"/>
                <w:szCs w:val="28"/>
                <w14:ligatures w14:val="none"/>
              </w:rPr>
            </w:pPr>
            <w:r>
              <w:rPr>
                <w:rFonts w:hint="eastAsia" w:ascii="仿宋_GB2312" w:hAnsi="仿宋_GB2312" w:eastAsia="仿宋_GB2312" w:cs="仿宋_GB2312"/>
                <w:b/>
                <w:bCs/>
                <w:kern w:val="0"/>
                <w:sz w:val="28"/>
                <w:szCs w:val="28"/>
                <w14:ligatures w14:val="none"/>
              </w:rPr>
              <w:t>主题内容</w:t>
            </w:r>
          </w:p>
        </w:tc>
        <w:tc>
          <w:tcPr>
            <w:tcW w:w="5295" w:type="dxa"/>
            <w:tcBorders>
              <w:top w:val="single" w:color="auto" w:sz="4" w:space="0"/>
              <w:left w:val="single" w:color="auto" w:sz="4" w:space="0"/>
              <w:bottom w:val="single" w:color="auto" w:sz="4" w:space="0"/>
              <w:right w:val="single" w:color="auto" w:sz="4" w:space="0"/>
            </w:tcBorders>
            <w:vAlign w:val="center"/>
          </w:tcPr>
          <w:p w14:paraId="4008B054">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kern w:val="0"/>
                <w:sz w:val="28"/>
                <w:szCs w:val="28"/>
                <w14:ligatures w14:val="none"/>
              </w:rPr>
            </w:pPr>
            <w:r>
              <w:rPr>
                <w:rFonts w:hint="eastAsia" w:ascii="仿宋_GB2312" w:hAnsi="仿宋_GB2312" w:eastAsia="仿宋_GB2312" w:cs="仿宋_GB2312"/>
                <w:b/>
                <w:bCs/>
                <w:kern w:val="0"/>
                <w:sz w:val="28"/>
                <w:szCs w:val="28"/>
                <w14:ligatures w14:val="none"/>
              </w:rPr>
              <w:t>具体操作</w:t>
            </w:r>
          </w:p>
        </w:tc>
      </w:tr>
      <w:tr w14:paraId="116C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3" w:type="dxa"/>
            <w:tcBorders>
              <w:top w:val="single" w:color="auto" w:sz="4" w:space="0"/>
              <w:left w:val="single" w:color="auto" w:sz="4" w:space="0"/>
              <w:bottom w:val="single" w:color="auto" w:sz="4" w:space="0"/>
              <w:right w:val="single" w:color="auto" w:sz="4" w:space="0"/>
            </w:tcBorders>
            <w:vAlign w:val="center"/>
          </w:tcPr>
          <w:p w14:paraId="7552E1C5">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先年10-11月份</w:t>
            </w:r>
          </w:p>
        </w:tc>
        <w:tc>
          <w:tcPr>
            <w:tcW w:w="1597" w:type="dxa"/>
            <w:tcBorders>
              <w:top w:val="single" w:color="auto" w:sz="4" w:space="0"/>
              <w:left w:val="single" w:color="auto" w:sz="4" w:space="0"/>
              <w:bottom w:val="single" w:color="auto" w:sz="4" w:space="0"/>
              <w:right w:val="single" w:color="auto" w:sz="4" w:space="0"/>
            </w:tcBorders>
            <w:vAlign w:val="center"/>
          </w:tcPr>
          <w:p w14:paraId="73C17162">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选题方向论证会</w:t>
            </w:r>
          </w:p>
        </w:tc>
        <w:tc>
          <w:tcPr>
            <w:tcW w:w="5295" w:type="dxa"/>
            <w:tcBorders>
              <w:top w:val="single" w:color="auto" w:sz="4" w:space="0"/>
              <w:left w:val="single" w:color="auto" w:sz="4" w:space="0"/>
              <w:bottom w:val="single" w:color="auto" w:sz="4" w:space="0"/>
              <w:right w:val="single" w:color="auto" w:sz="4" w:space="0"/>
            </w:tcBorders>
            <w:vAlign w:val="center"/>
          </w:tcPr>
          <w:p w14:paraId="5F27B589">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每位参与教师汇报申报项目选题，专家</w:t>
            </w:r>
            <w:r>
              <w:rPr>
                <w:rFonts w:hint="eastAsia" w:ascii="仿宋_GB2312" w:hAnsi="仿宋_GB2312" w:eastAsia="仿宋_GB2312" w:cs="仿宋_GB2312"/>
                <w:b w:val="0"/>
                <w:bCs w:val="0"/>
                <w:kern w:val="0"/>
                <w:sz w:val="28"/>
                <w:szCs w:val="28"/>
                <w:lang w:val="en-US" w:eastAsia="zh-CN"/>
                <w14:ligatures w14:val="none"/>
              </w:rPr>
              <w:t>就</w:t>
            </w:r>
            <w:r>
              <w:rPr>
                <w:rFonts w:hint="eastAsia" w:ascii="仿宋_GB2312" w:hAnsi="仿宋_GB2312" w:eastAsia="仿宋_GB2312" w:cs="仿宋_GB2312"/>
                <w:b w:val="0"/>
                <w:bCs w:val="0"/>
                <w:kern w:val="0"/>
                <w:sz w:val="28"/>
                <w:szCs w:val="28"/>
                <w14:ligatures w14:val="none"/>
              </w:rPr>
              <w:t>选题的创新性、可行性</w:t>
            </w:r>
            <w:r>
              <w:rPr>
                <w:rFonts w:hint="eastAsia" w:ascii="仿宋_GB2312" w:hAnsi="仿宋_GB2312" w:eastAsia="仿宋_GB2312" w:cs="仿宋_GB2312"/>
                <w:b w:val="0"/>
                <w:bCs w:val="0"/>
                <w:kern w:val="0"/>
                <w:sz w:val="28"/>
                <w:szCs w:val="28"/>
                <w14:ligatures w14:val="none"/>
              </w:rPr>
              <w:t>进行“会诊”。</w:t>
            </w:r>
          </w:p>
        </w:tc>
      </w:tr>
      <w:tr w14:paraId="6456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3" w:type="dxa"/>
            <w:tcBorders>
              <w:top w:val="single" w:color="auto" w:sz="4" w:space="0"/>
              <w:left w:val="single" w:color="auto" w:sz="4" w:space="0"/>
              <w:bottom w:val="single" w:color="auto" w:sz="4" w:space="0"/>
              <w:right w:val="single" w:color="auto" w:sz="4" w:space="0"/>
            </w:tcBorders>
            <w:vAlign w:val="center"/>
          </w:tcPr>
          <w:p w14:paraId="7D7580F6">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先年12月份-下一年1月份</w:t>
            </w:r>
          </w:p>
        </w:tc>
        <w:tc>
          <w:tcPr>
            <w:tcW w:w="1597" w:type="dxa"/>
            <w:tcBorders>
              <w:top w:val="single" w:color="auto" w:sz="4" w:space="0"/>
              <w:left w:val="single" w:color="auto" w:sz="4" w:space="0"/>
              <w:bottom w:val="single" w:color="auto" w:sz="4" w:space="0"/>
              <w:right w:val="single" w:color="auto" w:sz="4" w:space="0"/>
            </w:tcBorders>
            <w:vAlign w:val="center"/>
          </w:tcPr>
          <w:p w14:paraId="1FE14BBD">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申报书初稿互评</w:t>
            </w:r>
          </w:p>
        </w:tc>
        <w:tc>
          <w:tcPr>
            <w:tcW w:w="5295" w:type="dxa"/>
            <w:tcBorders>
              <w:top w:val="single" w:color="auto" w:sz="4" w:space="0"/>
              <w:left w:val="single" w:color="auto" w:sz="4" w:space="0"/>
              <w:bottom w:val="single" w:color="auto" w:sz="4" w:space="0"/>
              <w:right w:val="single" w:color="auto" w:sz="4" w:space="0"/>
            </w:tcBorders>
            <w:vAlign w:val="center"/>
          </w:tcPr>
          <w:p w14:paraId="21235A91">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参与者提前提交申报初稿，现场进行“1对1”互评+专家点评。</w:t>
            </w:r>
          </w:p>
        </w:tc>
      </w:tr>
      <w:tr w14:paraId="34D1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3" w:type="dxa"/>
            <w:tcBorders>
              <w:top w:val="single" w:color="auto" w:sz="4" w:space="0"/>
              <w:left w:val="single" w:color="auto" w:sz="4" w:space="0"/>
              <w:bottom w:val="single" w:color="auto" w:sz="4" w:space="0"/>
              <w:right w:val="single" w:color="auto" w:sz="4" w:space="0"/>
            </w:tcBorders>
            <w:vAlign w:val="center"/>
          </w:tcPr>
          <w:p w14:paraId="5B57F915">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下一年2月份</w:t>
            </w:r>
          </w:p>
        </w:tc>
        <w:tc>
          <w:tcPr>
            <w:tcW w:w="1597" w:type="dxa"/>
            <w:tcBorders>
              <w:top w:val="single" w:color="auto" w:sz="4" w:space="0"/>
              <w:left w:val="single" w:color="auto" w:sz="4" w:space="0"/>
              <w:bottom w:val="single" w:color="auto" w:sz="4" w:space="0"/>
              <w:right w:val="single" w:color="auto" w:sz="4" w:space="0"/>
            </w:tcBorders>
            <w:vAlign w:val="center"/>
          </w:tcPr>
          <w:p w14:paraId="58FB8746">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申报书终稿打磨</w:t>
            </w:r>
          </w:p>
        </w:tc>
        <w:tc>
          <w:tcPr>
            <w:tcW w:w="5295" w:type="dxa"/>
            <w:tcBorders>
              <w:top w:val="single" w:color="auto" w:sz="4" w:space="0"/>
              <w:left w:val="single" w:color="auto" w:sz="4" w:space="0"/>
              <w:bottom w:val="single" w:color="auto" w:sz="4" w:space="0"/>
              <w:right w:val="single" w:color="auto" w:sz="4" w:space="0"/>
            </w:tcBorders>
            <w:vAlign w:val="center"/>
          </w:tcPr>
          <w:p w14:paraId="448170CE">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针对修改后的申报书进行最后一轮精细化打磨，重点优化“研究方案”和“创新点”。</w:t>
            </w:r>
          </w:p>
        </w:tc>
      </w:tr>
    </w:tbl>
    <w:p w14:paraId="285C0160">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（二）高质量学术论文写作与发表经验交流</w:t>
      </w:r>
    </w:p>
    <w:p w14:paraId="6CAD931E">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写作技巧工作坊：</w:t>
      </w:r>
      <w:r>
        <w:rPr>
          <w:rFonts w:hint="eastAsia" w:ascii="仿宋_GB2312" w:hAnsi="仿宋_GB2312" w:eastAsia="仿宋_GB2312" w:cs="仿宋_GB2312"/>
          <w:sz w:val="32"/>
          <w:szCs w:val="32"/>
        </w:rPr>
        <w:t>邀请发表过高水平论文的学者分享从选题、实验/调研、写作到投稿的全流程经验；</w:t>
      </w:r>
    </w:p>
    <w:p w14:paraId="59F1DE88">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期刊选择与投稿策略：</w:t>
      </w:r>
      <w:r>
        <w:rPr>
          <w:rFonts w:hint="eastAsia" w:ascii="仿宋_GB2312" w:hAnsi="仿宋_GB2312" w:eastAsia="仿宋_GB2312" w:cs="仿宋_GB2312"/>
          <w:sz w:val="32"/>
          <w:szCs w:val="32"/>
        </w:rPr>
        <w:t>分析不同期刊的审稿偏好、发表周期、录用率等，帮助青年教师精准投稿；</w:t>
      </w:r>
    </w:p>
    <w:p w14:paraId="2EF2F255">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审稿意见回复模拟：</w:t>
      </w:r>
      <w:r>
        <w:rPr>
          <w:rFonts w:hint="eastAsia" w:ascii="仿宋_GB2312" w:hAnsi="仿宋_GB2312" w:eastAsia="仿宋_GB2312" w:cs="仿宋_GB2312"/>
          <w:sz w:val="32"/>
          <w:szCs w:val="32"/>
        </w:rPr>
        <w:t>选取常见审稿意见类型，进行模拟回复训练。</w:t>
      </w:r>
    </w:p>
    <w:p w14:paraId="39476213">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（三）研究方法与技术指导</w:t>
      </w:r>
    </w:p>
    <w:p w14:paraId="028A396A">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研究方法论讲座：</w:t>
      </w:r>
      <w:r>
        <w:rPr>
          <w:rFonts w:hint="eastAsia" w:ascii="仿宋_GB2312" w:hAnsi="仿宋_GB2312" w:eastAsia="仿宋_GB2312" w:cs="仿宋_GB2312"/>
          <w:sz w:val="32"/>
          <w:szCs w:val="32"/>
        </w:rPr>
        <w:t>针对学科特点，邀请方法学专家讲授前沿研究方法和工具；</w:t>
      </w:r>
    </w:p>
    <w:p w14:paraId="0BC94811">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数据分析与软件操作：</w:t>
      </w:r>
      <w:r>
        <w:rPr>
          <w:rFonts w:hint="eastAsia" w:ascii="仿宋_GB2312" w:hAnsi="仿宋_GB2312" w:eastAsia="仿宋_GB2312" w:cs="仿宋_GB2312"/>
          <w:sz w:val="32"/>
          <w:szCs w:val="32"/>
        </w:rPr>
        <w:t>结合实际案例，开展SPSS、Python、NVivo等工具实操培训；</w:t>
      </w:r>
    </w:p>
    <w:p w14:paraId="43DE5C44">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实验设计与优化：</w:t>
      </w:r>
      <w:r>
        <w:rPr>
          <w:rFonts w:hint="eastAsia" w:ascii="仿宋_GB2312" w:hAnsi="仿宋_GB2312" w:eastAsia="仿宋_GB2312" w:cs="仿宋_GB2312"/>
          <w:sz w:val="32"/>
          <w:szCs w:val="32"/>
        </w:rPr>
        <w:t>针对理工医类教师，开展实验方案设计的研讨与诊断。</w:t>
      </w:r>
    </w:p>
    <w:p w14:paraId="44866DFE">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（四）成果转化与产学研合作</w:t>
      </w:r>
    </w:p>
    <w:p w14:paraId="743676E5">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成果转化路径解析：</w:t>
      </w:r>
      <w:r>
        <w:rPr>
          <w:rFonts w:hint="eastAsia" w:ascii="仿宋_GB2312" w:hAnsi="仿宋_GB2312" w:eastAsia="仿宋_GB2312" w:cs="仿宋_GB2312"/>
          <w:sz w:val="32"/>
          <w:szCs w:val="32"/>
        </w:rPr>
        <w:t>邀请技术转移机构专家讲解专利布局、技术许可、作价入股等流程；</w:t>
      </w:r>
    </w:p>
    <w:p w14:paraId="687C3649">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企业需求对接会：</w:t>
      </w:r>
      <w:r>
        <w:rPr>
          <w:rFonts w:hint="eastAsia" w:ascii="仿宋_GB2312" w:hAnsi="仿宋_GB2312" w:eastAsia="仿宋_GB2312" w:cs="仿宋_GB2312"/>
          <w:sz w:val="32"/>
          <w:szCs w:val="32"/>
        </w:rPr>
        <w:t>邀请行业企业代表发布技术需求，组织青年教师进行“揭榜挂帅”式对接；</w:t>
      </w:r>
    </w:p>
    <w:p w14:paraId="003B7B8B">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横向课题申报指导：</w:t>
      </w:r>
      <w:r>
        <w:rPr>
          <w:rFonts w:hint="eastAsia" w:ascii="仿宋_GB2312" w:hAnsi="仿宋_GB2312" w:eastAsia="仿宋_GB2312" w:cs="仿宋_GB2312"/>
          <w:sz w:val="32"/>
          <w:szCs w:val="32"/>
        </w:rPr>
        <w:t>分享横向课题的挖掘、谈判、执行与结题经验。</w:t>
      </w:r>
    </w:p>
    <w:p w14:paraId="04FF41FD">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五、活动流程</w:t>
      </w:r>
    </w:p>
    <w:p w14:paraId="4F934D1E">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借鉴中国科学院老科学技术工作者协会高端学术沙龙的组织模式，每期学术沙龙应严格执行以下标准化流程：</w:t>
      </w:r>
    </w:p>
    <w:p w14:paraId="610267AD">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（一）前期准备阶段（活动前2周-前3天）</w:t>
      </w:r>
    </w:p>
    <w:tbl>
      <w:tblPr>
        <w:tblStyle w:val="16"/>
        <w:tblW w:w="8347"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7"/>
        <w:gridCol w:w="6090"/>
      </w:tblGrid>
      <w:tr w14:paraId="32D6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7" w:type="dxa"/>
            <w:vAlign w:val="center"/>
          </w:tcPr>
          <w:p w14:paraId="10C6B5E2">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kern w:val="0"/>
                <w:sz w:val="28"/>
                <w:szCs w:val="28"/>
                <w14:ligatures w14:val="none"/>
              </w:rPr>
            </w:pPr>
            <w:r>
              <w:rPr>
                <w:rFonts w:hint="eastAsia" w:ascii="仿宋_GB2312" w:hAnsi="仿宋_GB2312" w:eastAsia="仿宋_GB2312" w:cs="仿宋_GB2312"/>
                <w:b/>
                <w:bCs/>
                <w:kern w:val="0"/>
                <w:sz w:val="28"/>
                <w:szCs w:val="28"/>
                <w14:ligatures w14:val="none"/>
              </w:rPr>
              <w:t>时间节点</w:t>
            </w:r>
          </w:p>
        </w:tc>
        <w:tc>
          <w:tcPr>
            <w:tcW w:w="6090" w:type="dxa"/>
            <w:vAlign w:val="center"/>
          </w:tcPr>
          <w:p w14:paraId="323C5AD2">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kern w:val="0"/>
                <w:sz w:val="28"/>
                <w:szCs w:val="28"/>
                <w14:ligatures w14:val="none"/>
              </w:rPr>
            </w:pPr>
            <w:r>
              <w:rPr>
                <w:rFonts w:hint="eastAsia" w:ascii="仿宋_GB2312" w:hAnsi="仿宋_GB2312" w:eastAsia="仿宋_GB2312" w:cs="仿宋_GB2312"/>
                <w:b/>
                <w:bCs/>
                <w:kern w:val="0"/>
                <w:sz w:val="28"/>
                <w:szCs w:val="28"/>
                <w14:ligatures w14:val="none"/>
              </w:rPr>
              <w:t>工作内容</w:t>
            </w:r>
          </w:p>
        </w:tc>
      </w:tr>
      <w:tr w14:paraId="509D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7" w:type="dxa"/>
            <w:vAlign w:val="center"/>
          </w:tcPr>
          <w:p w14:paraId="5CA4EECB">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活动前1周</w:t>
            </w:r>
          </w:p>
        </w:tc>
        <w:tc>
          <w:tcPr>
            <w:tcW w:w="6090" w:type="dxa"/>
            <w:vAlign w:val="center"/>
          </w:tcPr>
          <w:p w14:paraId="3E69D01E">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确定沙龙具体时间、地点、主题、嘉宾、主持人</w:t>
            </w:r>
            <w:r>
              <w:rPr>
                <w:rFonts w:hint="eastAsia" w:ascii="仿宋_GB2312" w:hAnsi="仿宋_GB2312" w:eastAsia="仿宋_GB2312" w:cs="仿宋_GB2312"/>
                <w:b w:val="0"/>
                <w:bCs w:val="0"/>
                <w:kern w:val="0"/>
                <w:sz w:val="28"/>
                <w:szCs w:val="28"/>
                <w:lang w:eastAsia="zh-CN"/>
                <w14:ligatures w14:val="none"/>
              </w:rPr>
              <w:t>。</w:t>
            </w:r>
          </w:p>
        </w:tc>
      </w:tr>
      <w:tr w14:paraId="6900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7" w:type="dxa"/>
            <w:vAlign w:val="center"/>
          </w:tcPr>
          <w:p w14:paraId="551AED29">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活动前1周</w:t>
            </w:r>
          </w:p>
        </w:tc>
        <w:tc>
          <w:tcPr>
            <w:tcW w:w="6090" w:type="dxa"/>
            <w:vAlign w:val="center"/>
          </w:tcPr>
          <w:p w14:paraId="05093123">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在学院宣传平台发布活动预告，开放报名</w:t>
            </w:r>
            <w:r>
              <w:rPr>
                <w:rFonts w:hint="eastAsia" w:ascii="仿宋_GB2312" w:hAnsi="仿宋_GB2312" w:eastAsia="仿宋_GB2312" w:cs="仿宋_GB2312"/>
                <w:b w:val="0"/>
                <w:bCs w:val="0"/>
                <w:kern w:val="0"/>
                <w:sz w:val="28"/>
                <w:szCs w:val="28"/>
                <w:lang w:eastAsia="zh-CN"/>
                <w14:ligatures w14:val="none"/>
              </w:rPr>
              <w:t>。</w:t>
            </w:r>
          </w:p>
        </w:tc>
      </w:tr>
      <w:tr w14:paraId="2E25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7" w:type="dxa"/>
            <w:vAlign w:val="center"/>
          </w:tcPr>
          <w:p w14:paraId="47E7C702">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活动前3天</w:t>
            </w:r>
          </w:p>
        </w:tc>
        <w:tc>
          <w:tcPr>
            <w:tcW w:w="6090" w:type="dxa"/>
            <w:vAlign w:val="center"/>
          </w:tcPr>
          <w:p w14:paraId="21CA8546">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确认参与人员名单(控制在10-20人)</w:t>
            </w:r>
            <w:r>
              <w:rPr>
                <w:rFonts w:hint="eastAsia" w:ascii="仿宋_GB2312" w:hAnsi="仿宋_GB2312" w:eastAsia="仿宋_GB2312" w:cs="仿宋_GB2312"/>
                <w:b w:val="0"/>
                <w:bCs w:val="0"/>
                <w:kern w:val="0"/>
                <w:sz w:val="28"/>
                <w:szCs w:val="28"/>
                <w:lang w:eastAsia="zh-CN"/>
                <w14:ligatures w14:val="none"/>
              </w:rPr>
              <w:t>。</w:t>
            </w:r>
          </w:p>
        </w:tc>
      </w:tr>
      <w:tr w14:paraId="738A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7" w:type="dxa"/>
            <w:vAlign w:val="center"/>
          </w:tcPr>
          <w:p w14:paraId="71C420C2">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活动前3天</w:t>
            </w:r>
          </w:p>
        </w:tc>
        <w:tc>
          <w:tcPr>
            <w:tcW w:w="6090" w:type="dxa"/>
            <w:vAlign w:val="center"/>
          </w:tcPr>
          <w:p w14:paraId="0C299F20">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通知参与人员准备相应学术资料(申报书、论文初稿等)</w:t>
            </w:r>
            <w:r>
              <w:rPr>
                <w:rFonts w:hint="eastAsia" w:ascii="仿宋_GB2312" w:hAnsi="仿宋_GB2312" w:eastAsia="仿宋_GB2312" w:cs="仿宋_GB2312"/>
                <w:b w:val="0"/>
                <w:bCs w:val="0"/>
                <w:kern w:val="0"/>
                <w:sz w:val="28"/>
                <w:szCs w:val="28"/>
                <w:lang w:eastAsia="zh-CN"/>
                <w14:ligatures w14:val="none"/>
              </w:rPr>
              <w:t>。</w:t>
            </w:r>
          </w:p>
        </w:tc>
      </w:tr>
      <w:tr w14:paraId="3C63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7" w:type="dxa"/>
            <w:vAlign w:val="center"/>
          </w:tcPr>
          <w:p w14:paraId="13BEB7DC">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活动前3天</w:t>
            </w:r>
          </w:p>
        </w:tc>
        <w:tc>
          <w:tcPr>
            <w:tcW w:w="6090" w:type="dxa"/>
            <w:vAlign w:val="center"/>
          </w:tcPr>
          <w:p w14:paraId="16A03DEE">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向专家发送参与人员学术资料，供其提前熟悉</w:t>
            </w:r>
            <w:r>
              <w:rPr>
                <w:rFonts w:hint="eastAsia" w:ascii="仿宋_GB2312" w:hAnsi="仿宋_GB2312" w:eastAsia="仿宋_GB2312" w:cs="仿宋_GB2312"/>
                <w:b w:val="0"/>
                <w:bCs w:val="0"/>
                <w:kern w:val="0"/>
                <w:sz w:val="28"/>
                <w:szCs w:val="28"/>
                <w:lang w:eastAsia="zh-CN"/>
                <w14:ligatures w14:val="none"/>
              </w:rPr>
              <w:t>。</w:t>
            </w:r>
          </w:p>
        </w:tc>
      </w:tr>
    </w:tbl>
    <w:p w14:paraId="07F2F65B">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（二）活动开展流程（2-3小时）</w:t>
      </w:r>
    </w:p>
    <w:p w14:paraId="0EE1C133">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主持人开场（5分钟）：</w:t>
      </w:r>
      <w:r>
        <w:rPr>
          <w:rFonts w:hint="eastAsia" w:ascii="仿宋_GB2312" w:hAnsi="仿宋_GB2312" w:eastAsia="仿宋_GB2312" w:cs="仿宋_GB2312"/>
          <w:sz w:val="32"/>
          <w:szCs w:val="32"/>
        </w:rPr>
        <w:t>介绍沙龙主题、专家背景、活动规则；</w:t>
      </w:r>
    </w:p>
    <w:p w14:paraId="05BD8797">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参与人员学术资料介绍（60-90分钟）：</w:t>
      </w:r>
      <w:r>
        <w:rPr>
          <w:rFonts w:hint="eastAsia" w:ascii="仿宋_GB2312" w:hAnsi="仿宋_GB2312" w:eastAsia="仿宋_GB2312" w:cs="仿宋_GB2312"/>
          <w:sz w:val="32"/>
          <w:szCs w:val="32"/>
        </w:rPr>
        <w:t>每位参与教师依次汇报自己的学术资料（申报书/论文等），每人5-8分钟。汇报内容聚焦问题、困惑和需求，而非成果展示；</w:t>
      </w:r>
    </w:p>
    <w:p w14:paraId="530758F6">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交流研讨（30-40分钟）：</w:t>
      </w:r>
      <w:r>
        <w:rPr>
          <w:rFonts w:hint="eastAsia" w:ascii="仿宋_GB2312" w:hAnsi="仿宋_GB2312" w:eastAsia="仿宋_GB2312" w:cs="仿宋_GB2312"/>
          <w:sz w:val="32"/>
          <w:szCs w:val="32"/>
        </w:rPr>
        <w:t>参与教师之间进行交叉点评，鼓励提出建设性意见，提倡自由讨论，鼓励学术批评，重视争鸣和质疑；</w:t>
      </w:r>
    </w:p>
    <w:p w14:paraId="5BECBC8B">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专家点评（30-40分钟）：</w:t>
      </w:r>
      <w:r>
        <w:rPr>
          <w:rFonts w:hint="eastAsia" w:ascii="仿宋_GB2312" w:hAnsi="仿宋_GB2312" w:eastAsia="仿宋_GB2312" w:cs="仿宋_GB2312"/>
          <w:sz w:val="32"/>
          <w:szCs w:val="32"/>
        </w:rPr>
        <w:t>2-4位专家结合各自专长，依次对参与教师的学术资料进行点评。专家应重点指出问题、提出修改建议、分享同类成功案例；</w:t>
      </w:r>
    </w:p>
    <w:p w14:paraId="2409FEE8">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主持人总结（5-10分钟）：</w:t>
      </w:r>
      <w:r>
        <w:rPr>
          <w:rFonts w:hint="eastAsia" w:ascii="仿宋_GB2312" w:hAnsi="仿宋_GB2312" w:eastAsia="仿宋_GB2312" w:cs="仿宋_GB2312"/>
          <w:sz w:val="32"/>
          <w:szCs w:val="32"/>
        </w:rPr>
        <w:t>梳理共性问题和个性建议，明确后续修改方向。</w:t>
      </w:r>
    </w:p>
    <w:p w14:paraId="2E84DF07">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（三）后期跟进阶段（活动后1周内）</w:t>
      </w:r>
    </w:p>
    <w:p w14:paraId="3A6CD3BA">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资料修改与提交：</w:t>
      </w:r>
      <w:r>
        <w:rPr>
          <w:rFonts w:hint="eastAsia" w:ascii="仿宋_GB2312" w:hAnsi="仿宋_GB2312" w:eastAsia="仿宋_GB2312" w:cs="仿宋_GB2312"/>
          <w:sz w:val="32"/>
          <w:szCs w:val="32"/>
        </w:rPr>
        <w:t>参与教师在活动结束后1周内，根据专家和同行意见修改学术资料，提交给专家进行进一步审阅指导；</w:t>
      </w:r>
    </w:p>
    <w:p w14:paraId="7C036BA5">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资料存档：</w:t>
      </w:r>
      <w:r>
        <w:rPr>
          <w:rFonts w:hint="eastAsia" w:ascii="仿宋_GB2312" w:hAnsi="仿宋_GB2312" w:eastAsia="仿宋_GB2312" w:cs="仿宋_GB2312"/>
          <w:sz w:val="32"/>
          <w:szCs w:val="32"/>
        </w:rPr>
        <w:t>项目团队整理活动过程性资料（签到表、活动纪要、照片、专家点评记录等）和结果性资料（修改后的学术资料等）进行存档；</w:t>
      </w:r>
    </w:p>
    <w:p w14:paraId="2A459A6B">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宣传报道：</w:t>
      </w:r>
      <w:r>
        <w:rPr>
          <w:rFonts w:hint="eastAsia" w:ascii="仿宋_GB2312" w:hAnsi="仿宋_GB2312" w:eastAsia="仿宋_GB2312" w:cs="仿宋_GB2312"/>
          <w:sz w:val="32"/>
          <w:szCs w:val="32"/>
        </w:rPr>
        <w:t>项目团队就活动开展情况撰写新闻稿，在学院和学校宣传平台进行报道，扩大活动影响力</w:t>
      </w:r>
      <w:r>
        <w:rPr>
          <w:rFonts w:hint="eastAsia" w:ascii="仿宋_GB2312" w:hAnsi="仿宋_GB2312" w:eastAsia="仿宋_GB2312" w:cs="仿宋_GB2312"/>
          <w:sz w:val="32"/>
          <w:szCs w:val="32"/>
          <w:lang w:eastAsia="zh-CN"/>
        </w:rPr>
        <w:t>。</w:t>
      </w:r>
    </w:p>
    <w:p w14:paraId="4B41CFEA">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六、经费管理与预算安排</w:t>
      </w:r>
    </w:p>
    <w:p w14:paraId="36D22411">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（一）经费总额与分配</w:t>
      </w:r>
    </w:p>
    <w:p w14:paraId="36BE74C5">
      <w:pPr>
        <w:keepNext w:val="0"/>
        <w:keepLines w:val="0"/>
        <w:pageBreakBefore w:val="0"/>
        <w:widowControl w:val="0"/>
        <w:kinsoku/>
        <w:wordWrap/>
        <w:overflowPunct/>
        <w:topLinePunct w:val="0"/>
        <w:autoSpaceDE/>
        <w:autoSpaceDN/>
        <w:bidi w:val="0"/>
        <w:adjustRightInd/>
        <w:snapToGrid/>
        <w:spacing w:after="0" w:line="580" w:lineRule="exact"/>
        <w:ind w:firstLine="616" w:firstLineChars="200"/>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rPr>
        <w:t>学校支持专项工作经费20万元，由科研管理处统筹安排</w:t>
      </w:r>
      <w:r>
        <w:rPr>
          <w:rFonts w:hint="eastAsia" w:ascii="仿宋_GB2312" w:hAnsi="仿宋_GB2312" w:eastAsia="仿宋_GB2312" w:cs="仿宋_GB2312"/>
          <w:spacing w:val="-6"/>
          <w:sz w:val="32"/>
          <w:szCs w:val="32"/>
          <w:lang w:eastAsia="zh-CN"/>
        </w:rPr>
        <w:t>。</w:t>
      </w:r>
    </w:p>
    <w:p w14:paraId="4392862E">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立项团队经费：</w:t>
      </w:r>
      <w:r>
        <w:rPr>
          <w:rFonts w:hint="eastAsia" w:ascii="仿宋_GB2312" w:hAnsi="仿宋_GB2312" w:eastAsia="仿宋_GB2312" w:cs="仿宋_GB2312"/>
          <w:sz w:val="32"/>
          <w:szCs w:val="32"/>
        </w:rPr>
        <w:t>18万元，拨付至6个项目团队，每个团队3万元；</w:t>
      </w:r>
    </w:p>
    <w:p w14:paraId="673259AA">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管理及机动经费：</w:t>
      </w:r>
      <w:r>
        <w:rPr>
          <w:rFonts w:hint="eastAsia" w:ascii="仿宋_GB2312" w:hAnsi="仿宋_GB2312" w:eastAsia="仿宋_GB2312" w:cs="仿宋_GB2312"/>
          <w:sz w:val="32"/>
          <w:szCs w:val="32"/>
        </w:rPr>
        <w:t>2万元，用于考核评估、专家评审、临时性支出等。</w:t>
      </w:r>
    </w:p>
    <w:p w14:paraId="11A6CF7D">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（二）经费使用范围</w:t>
      </w:r>
    </w:p>
    <w:p w14:paraId="300A397A">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专家劳务费及差旅费，材料打印费、活动茶水费等。</w:t>
      </w:r>
    </w:p>
    <w:p w14:paraId="1881F4A0">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（三）经费报销要求</w:t>
      </w:r>
    </w:p>
    <w:p w14:paraId="6657C3EF">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经费使用须严格遵守学校财务管理制度，专款专用。项目结项时须提交经费使用明细，接受审计监督。</w:t>
      </w:r>
    </w:p>
    <w:p w14:paraId="08106376">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七、成效评估与考核机制</w:t>
      </w:r>
    </w:p>
    <w:p w14:paraId="77C4566B">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（一）评估等级与标准</w:t>
      </w:r>
    </w:p>
    <w:p w14:paraId="42343BAF">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借鉴教育部关于青年教师考核评价的科学导向，突出创新能力、质量、实效、贡献导向，评估分为四个等级：</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6883"/>
      </w:tblGrid>
      <w:tr w14:paraId="31E0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0C30562B">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kern w:val="0"/>
                <w:sz w:val="28"/>
                <w:szCs w:val="28"/>
                <w14:ligatures w14:val="none"/>
              </w:rPr>
            </w:pPr>
            <w:r>
              <w:rPr>
                <w:rFonts w:hint="eastAsia" w:ascii="仿宋_GB2312" w:hAnsi="仿宋_GB2312" w:eastAsia="仿宋_GB2312" w:cs="仿宋_GB2312"/>
                <w:b/>
                <w:bCs/>
                <w:kern w:val="0"/>
                <w:sz w:val="28"/>
                <w:szCs w:val="28"/>
                <w14:ligatures w14:val="none"/>
              </w:rPr>
              <w:t>等级</w:t>
            </w:r>
          </w:p>
        </w:tc>
        <w:tc>
          <w:tcPr>
            <w:tcW w:w="6883" w:type="dxa"/>
            <w:vAlign w:val="center"/>
          </w:tcPr>
          <w:p w14:paraId="3566553C">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kern w:val="0"/>
                <w:sz w:val="28"/>
                <w:szCs w:val="28"/>
                <w14:ligatures w14:val="none"/>
              </w:rPr>
            </w:pPr>
            <w:r>
              <w:rPr>
                <w:rFonts w:hint="eastAsia" w:ascii="仿宋_GB2312" w:hAnsi="仿宋_GB2312" w:eastAsia="仿宋_GB2312" w:cs="仿宋_GB2312"/>
                <w:b/>
                <w:bCs/>
                <w:kern w:val="0"/>
                <w:sz w:val="28"/>
                <w:szCs w:val="28"/>
                <w14:ligatures w14:val="none"/>
              </w:rPr>
              <w:t>评估标准</w:t>
            </w:r>
          </w:p>
        </w:tc>
      </w:tr>
      <w:tr w14:paraId="682E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16264ABC">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优秀</w:t>
            </w:r>
          </w:p>
        </w:tc>
        <w:tc>
          <w:tcPr>
            <w:tcW w:w="6883" w:type="dxa"/>
            <w:vAlign w:val="center"/>
          </w:tcPr>
          <w:p w14:paraId="560DBD93">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全年开展活动≥</w:t>
            </w:r>
            <w:r>
              <w:rPr>
                <w:rFonts w:hint="eastAsia" w:ascii="仿宋_GB2312" w:hAnsi="仿宋_GB2312" w:eastAsia="仿宋_GB2312" w:cs="仿宋_GB2312"/>
                <w:b w:val="0"/>
                <w:bCs w:val="0"/>
                <w:kern w:val="0"/>
                <w:sz w:val="28"/>
                <w:szCs w:val="28"/>
                <w:lang w:val="en-US" w:eastAsia="zh-CN"/>
                <w14:ligatures w14:val="none"/>
              </w:rPr>
              <w:t>16</w:t>
            </w:r>
            <w:r>
              <w:rPr>
                <w:rFonts w:hint="eastAsia" w:ascii="仿宋_GB2312" w:hAnsi="仿宋_GB2312" w:eastAsia="仿宋_GB2312" w:cs="仿宋_GB2312"/>
                <w:b w:val="0"/>
                <w:bCs w:val="0"/>
                <w:kern w:val="0"/>
                <w:sz w:val="28"/>
                <w:szCs w:val="28"/>
                <w14:ligatures w14:val="none"/>
              </w:rPr>
              <w:t>次，参与教师满意度≥90%，产出高质量成果(如有教师获批省级及以上项目、发表高水平论文、成功转化成果等)</w:t>
            </w:r>
            <w:r>
              <w:rPr>
                <w:rFonts w:hint="eastAsia" w:ascii="仿宋_GB2312" w:hAnsi="仿宋_GB2312" w:eastAsia="仿宋_GB2312" w:cs="仿宋_GB2312"/>
                <w:b w:val="0"/>
                <w:bCs w:val="0"/>
                <w:kern w:val="0"/>
                <w:sz w:val="28"/>
                <w:szCs w:val="28"/>
                <w:lang w:eastAsia="zh-CN"/>
                <w14:ligatures w14:val="none"/>
              </w:rPr>
              <w:t>。</w:t>
            </w:r>
          </w:p>
        </w:tc>
      </w:tr>
      <w:tr w14:paraId="2317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6003B575">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良好</w:t>
            </w:r>
          </w:p>
        </w:tc>
        <w:tc>
          <w:tcPr>
            <w:tcW w:w="6883" w:type="dxa"/>
            <w:vAlign w:val="center"/>
          </w:tcPr>
          <w:p w14:paraId="0955291E">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全年开展活动&gt;</w:t>
            </w:r>
            <w:r>
              <w:rPr>
                <w:rFonts w:hint="eastAsia" w:ascii="仿宋_GB2312" w:hAnsi="仿宋_GB2312" w:eastAsia="仿宋_GB2312" w:cs="仿宋_GB2312"/>
                <w:b w:val="0"/>
                <w:bCs w:val="0"/>
                <w:kern w:val="0"/>
                <w:sz w:val="28"/>
                <w:szCs w:val="28"/>
                <w:lang w:val="en-US" w:eastAsia="zh-CN"/>
                <w14:ligatures w14:val="none"/>
              </w:rPr>
              <w:t>12</w:t>
            </w:r>
            <w:r>
              <w:rPr>
                <w:rFonts w:hint="eastAsia" w:ascii="仿宋_GB2312" w:hAnsi="仿宋_GB2312" w:eastAsia="仿宋_GB2312" w:cs="仿宋_GB2312"/>
                <w:b w:val="0"/>
                <w:bCs w:val="0"/>
                <w:kern w:val="0"/>
                <w:sz w:val="28"/>
                <w:szCs w:val="28"/>
                <w14:ligatures w14:val="none"/>
              </w:rPr>
              <w:t>次，参与教师满意度≥80%，有较为显著的成果产出</w:t>
            </w:r>
            <w:r>
              <w:rPr>
                <w:rFonts w:hint="eastAsia" w:ascii="仿宋_GB2312" w:hAnsi="仿宋_GB2312" w:eastAsia="仿宋_GB2312" w:cs="仿宋_GB2312"/>
                <w:b w:val="0"/>
                <w:bCs w:val="0"/>
                <w:kern w:val="0"/>
                <w:sz w:val="28"/>
                <w:szCs w:val="28"/>
                <w:lang w:eastAsia="zh-CN"/>
                <w14:ligatures w14:val="none"/>
              </w:rPr>
              <w:t>。</w:t>
            </w:r>
          </w:p>
        </w:tc>
      </w:tr>
      <w:tr w14:paraId="556F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469B1E8C">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合格</w:t>
            </w:r>
          </w:p>
        </w:tc>
        <w:tc>
          <w:tcPr>
            <w:tcW w:w="6883" w:type="dxa"/>
            <w:vAlign w:val="center"/>
          </w:tcPr>
          <w:p w14:paraId="47EFCBEF">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全年开展活动≥</w:t>
            </w:r>
            <w:r>
              <w:rPr>
                <w:rFonts w:hint="eastAsia" w:ascii="仿宋_GB2312" w:hAnsi="仿宋_GB2312" w:eastAsia="仿宋_GB2312" w:cs="仿宋_GB2312"/>
                <w:b w:val="0"/>
                <w:bCs w:val="0"/>
                <w:kern w:val="0"/>
                <w:sz w:val="28"/>
                <w:szCs w:val="28"/>
                <w:lang w:val="en-US" w:eastAsia="zh-CN"/>
                <w14:ligatures w14:val="none"/>
              </w:rPr>
              <w:t>10</w:t>
            </w:r>
            <w:r>
              <w:rPr>
                <w:rFonts w:hint="eastAsia" w:ascii="仿宋_GB2312" w:hAnsi="仿宋_GB2312" w:eastAsia="仿宋_GB2312" w:cs="仿宋_GB2312"/>
                <w:b w:val="0"/>
                <w:bCs w:val="0"/>
                <w:kern w:val="0"/>
                <w:sz w:val="28"/>
                <w:szCs w:val="28"/>
                <w14:ligatures w14:val="none"/>
              </w:rPr>
              <w:t>次，参与教师满意度≥60%，有基本的活动记录和成果</w:t>
            </w:r>
            <w:r>
              <w:rPr>
                <w:rFonts w:hint="eastAsia" w:ascii="仿宋_GB2312" w:hAnsi="仿宋_GB2312" w:eastAsia="仿宋_GB2312" w:cs="仿宋_GB2312"/>
                <w:b w:val="0"/>
                <w:bCs w:val="0"/>
                <w:kern w:val="0"/>
                <w:sz w:val="28"/>
                <w:szCs w:val="28"/>
                <w:lang w:eastAsia="zh-CN"/>
                <w14:ligatures w14:val="none"/>
              </w:rPr>
              <w:t>。</w:t>
            </w:r>
          </w:p>
        </w:tc>
      </w:tr>
      <w:tr w14:paraId="3B8B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Align w:val="center"/>
          </w:tcPr>
          <w:p w14:paraId="2BB46D45">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仿宋_GB2312" w:hAnsi="仿宋_GB2312" w:eastAsia="仿宋_GB2312" w:cs="仿宋_GB2312"/>
                <w:b w:val="0"/>
                <w:bCs w:val="0"/>
                <w:kern w:val="0"/>
                <w:sz w:val="28"/>
                <w:szCs w:val="28"/>
                <w14:ligatures w14:val="none"/>
              </w:rPr>
            </w:pPr>
            <w:r>
              <w:rPr>
                <w:rFonts w:hint="eastAsia" w:ascii="仿宋_GB2312" w:hAnsi="仿宋_GB2312" w:eastAsia="仿宋_GB2312" w:cs="仿宋_GB2312"/>
                <w:b w:val="0"/>
                <w:bCs w:val="0"/>
                <w:kern w:val="0"/>
                <w:sz w:val="28"/>
                <w:szCs w:val="28"/>
                <w14:ligatures w14:val="none"/>
              </w:rPr>
              <w:t>不合格</w:t>
            </w:r>
          </w:p>
        </w:tc>
        <w:tc>
          <w:tcPr>
            <w:tcW w:w="6883" w:type="dxa"/>
            <w:vAlign w:val="center"/>
          </w:tcPr>
          <w:p w14:paraId="43D0C7BC">
            <w:pPr>
              <w:keepNext w:val="0"/>
              <w:keepLines w:val="0"/>
              <w:pageBreakBefore w:val="0"/>
              <w:widowControl w:val="0"/>
              <w:kinsoku/>
              <w:wordWrap/>
              <w:overflowPunct/>
              <w:topLinePunct w:val="0"/>
              <w:autoSpaceDE/>
              <w:autoSpaceDN/>
              <w:bidi w:val="0"/>
              <w:adjustRightInd/>
              <w:snapToGrid/>
              <w:spacing w:after="0" w:line="440" w:lineRule="exact"/>
              <w:jc w:val="left"/>
              <w:textAlignment w:val="auto"/>
              <w:rPr>
                <w:rFonts w:hint="eastAsia" w:ascii="仿宋_GB2312" w:hAnsi="仿宋_GB2312" w:eastAsia="仿宋_GB2312" w:cs="仿宋_GB2312"/>
                <w:b w:val="0"/>
                <w:bCs w:val="0"/>
                <w:kern w:val="0"/>
                <w:sz w:val="28"/>
                <w:szCs w:val="28"/>
                <w:lang w:eastAsia="zh-CN"/>
                <w14:ligatures w14:val="none"/>
              </w:rPr>
            </w:pPr>
            <w:r>
              <w:rPr>
                <w:rFonts w:hint="eastAsia" w:ascii="仿宋_GB2312" w:hAnsi="仿宋_GB2312" w:eastAsia="仿宋_GB2312" w:cs="仿宋_GB2312"/>
                <w:b w:val="0"/>
                <w:bCs w:val="0"/>
                <w:kern w:val="0"/>
                <w:sz w:val="28"/>
                <w:szCs w:val="28"/>
                <w14:ligatures w14:val="none"/>
              </w:rPr>
              <w:t>全年开展活动&lt;</w:t>
            </w:r>
            <w:r>
              <w:rPr>
                <w:rFonts w:hint="eastAsia" w:ascii="仿宋_GB2312" w:hAnsi="仿宋_GB2312" w:eastAsia="仿宋_GB2312" w:cs="仿宋_GB2312"/>
                <w:b w:val="0"/>
                <w:bCs w:val="0"/>
                <w:kern w:val="0"/>
                <w:sz w:val="28"/>
                <w:szCs w:val="28"/>
                <w:lang w:val="en-US" w:eastAsia="zh-CN"/>
                <w14:ligatures w14:val="none"/>
              </w:rPr>
              <w:t>10</w:t>
            </w:r>
            <w:r>
              <w:rPr>
                <w:rFonts w:hint="eastAsia" w:ascii="仿宋_GB2312" w:hAnsi="仿宋_GB2312" w:eastAsia="仿宋_GB2312" w:cs="仿宋_GB2312"/>
                <w:b w:val="0"/>
                <w:bCs w:val="0"/>
                <w:kern w:val="0"/>
                <w:sz w:val="28"/>
                <w:szCs w:val="28"/>
                <w14:ligatures w14:val="none"/>
              </w:rPr>
              <w:t>次，参与教师满意度&lt;60%，有基本的活动记录和成果</w:t>
            </w:r>
            <w:r>
              <w:rPr>
                <w:rFonts w:hint="eastAsia" w:ascii="仿宋_GB2312" w:hAnsi="仿宋_GB2312" w:eastAsia="仿宋_GB2312" w:cs="仿宋_GB2312"/>
                <w:b w:val="0"/>
                <w:bCs w:val="0"/>
                <w:kern w:val="0"/>
                <w:sz w:val="28"/>
                <w:szCs w:val="28"/>
                <w:lang w:eastAsia="zh-CN"/>
                <w14:ligatures w14:val="none"/>
              </w:rPr>
              <w:t>。</w:t>
            </w:r>
          </w:p>
        </w:tc>
      </w:tr>
    </w:tbl>
    <w:p w14:paraId="55BA6248">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（二）评估流程</w:t>
      </w:r>
    </w:p>
    <w:p w14:paraId="6A59420A">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团队自评：</w:t>
      </w:r>
      <w:r>
        <w:rPr>
          <w:rFonts w:hint="eastAsia" w:ascii="仿宋_GB2312" w:hAnsi="仿宋_GB2312" w:eastAsia="仿宋_GB2312" w:cs="仿宋_GB2312"/>
          <w:sz w:val="32"/>
          <w:szCs w:val="32"/>
        </w:rPr>
        <w:t>各项目团队撰写结项报告，对项目实施情况进行总结，从活动组织、参与人数、成果产出、经费使用等方面进行自评。</w:t>
      </w:r>
    </w:p>
    <w:p w14:paraId="7D476A52">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材料提交：</w:t>
      </w:r>
      <w:r>
        <w:rPr>
          <w:rFonts w:hint="eastAsia" w:ascii="仿宋_GB2312" w:hAnsi="仿宋_GB2312" w:eastAsia="仿宋_GB2312" w:cs="仿宋_GB2312"/>
          <w:sz w:val="32"/>
          <w:szCs w:val="32"/>
        </w:rPr>
        <w:t>提交结项评估报告及相关佐证材料（活动记录、签到表、照片、宣传报道、参与教师反馈、修改后的学术资料等）。</w:t>
      </w:r>
    </w:p>
    <w:p w14:paraId="37C6D32F">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专家评估：</w:t>
      </w:r>
      <w:r>
        <w:rPr>
          <w:rFonts w:hint="eastAsia" w:ascii="仿宋_GB2312" w:hAnsi="仿宋_GB2312" w:eastAsia="仿宋_GB2312" w:cs="仿宋_GB2312"/>
          <w:sz w:val="32"/>
          <w:szCs w:val="32"/>
        </w:rPr>
        <w:t>科研管理处组织专家对项目进行评审，结合过程监督情况，确定评估等级。</w:t>
      </w:r>
    </w:p>
    <w:p w14:paraId="61A0949A">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结果公示：</w:t>
      </w:r>
      <w:r>
        <w:rPr>
          <w:rFonts w:hint="eastAsia" w:ascii="仿宋_GB2312" w:hAnsi="仿宋_GB2312" w:eastAsia="仿宋_GB2312" w:cs="仿宋_GB2312"/>
          <w:sz w:val="32"/>
          <w:szCs w:val="32"/>
        </w:rPr>
        <w:t>评估结果在全校范围内公示，接受监督。</w:t>
      </w:r>
    </w:p>
    <w:p w14:paraId="6871D2AD">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（三）激励机制</w:t>
      </w:r>
    </w:p>
    <w:p w14:paraId="71AC24EA">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评估为良好及以上的团队，下一年度可继续支持立项，优先获得资助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评估为优秀的团队，在下一年度经费分配中可适当增加额度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产出高质量成果的指导专家由人事处核定相应数量的工作量作为奖励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评估为不合格的项目团队，取消下一年度申报资格，并</w:t>
      </w:r>
      <w:r>
        <w:rPr>
          <w:rFonts w:hint="eastAsia" w:ascii="仿宋_GB2312" w:hAnsi="仿宋_GB2312" w:eastAsia="仿宋_GB2312" w:cs="仿宋_GB2312"/>
          <w:sz w:val="32"/>
          <w:szCs w:val="32"/>
          <w:lang w:val="en-US" w:eastAsia="zh-CN"/>
        </w:rPr>
        <w:t>追回</w:t>
      </w:r>
      <w:r>
        <w:rPr>
          <w:rFonts w:hint="eastAsia" w:ascii="仿宋_GB2312" w:hAnsi="仿宋_GB2312" w:eastAsia="仿宋_GB2312" w:cs="仿宋_GB2312"/>
          <w:sz w:val="32"/>
          <w:szCs w:val="32"/>
        </w:rPr>
        <w:t>剩余</w:t>
      </w:r>
      <w:r>
        <w:rPr>
          <w:rFonts w:hint="eastAsia"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rPr>
        <w:t>经费。</w:t>
      </w:r>
    </w:p>
    <w:p w14:paraId="74111EB0">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八、保障措施</w:t>
      </w:r>
    </w:p>
    <w:p w14:paraId="4FD3458A">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（一）制度保障</w:t>
      </w:r>
    </w:p>
    <w:p w14:paraId="142AC3E3">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将“青椒智汇”参与情况纳入青年教师评奖评优考核指标体系，鼓励青年教师积极参与。建立健全校领导联系青年教师制度，定期听取青年教师对学术沙龙的意见建议。</w:t>
      </w:r>
    </w:p>
    <w:p w14:paraId="47A9A2B9">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（二）平台保障</w:t>
      </w:r>
    </w:p>
    <w:p w14:paraId="51D46314">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建立学术沙龙的常态化运行机制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建设线上学术交流平台（如微信群、学术社区），方便教师日常交流与资源共享。鼓励学院与大中型企事业单位共建青年教师培训基地，拓展产学研合作渠道。</w:t>
      </w:r>
      <w:bookmarkStart w:id="2" w:name="_GoBack"/>
      <w:bookmarkEnd w:id="2"/>
    </w:p>
    <w:p w14:paraId="5BE9E83B">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（三）氛围营造</w:t>
      </w:r>
    </w:p>
    <w:p w14:paraId="377F03D7">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造自由、平等、包容的学术交流氛围，不论资历、职称、年龄都应平等参与讨论。定期举办校领导与青年教师座谈会及“青椒智汇”学术沙龙活动，倾听青年教师心声。加强优秀青年教师典型选树和宣传，发挥榜样示范作用。</w:t>
      </w:r>
    </w:p>
    <w:p w14:paraId="1EC311DE">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九、预期成果</w:t>
      </w:r>
    </w:p>
    <w:p w14:paraId="3C91456B">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通过“青椒智汇”学术沙龙的持续实施，预期实现以下成果</w:t>
      </w:r>
      <w:r>
        <w:rPr>
          <w:rFonts w:hint="eastAsia" w:ascii="仿宋_GB2312" w:hAnsi="仿宋_GB2312" w:eastAsia="仿宋_GB2312" w:cs="仿宋_GB2312"/>
          <w:b/>
          <w:bCs/>
          <w:sz w:val="32"/>
          <w:szCs w:val="32"/>
        </w:rPr>
        <w:t>：</w:t>
      </w:r>
    </w:p>
    <w:p w14:paraId="2C20F68F">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教师发展方面：</w:t>
      </w:r>
      <w:r>
        <w:rPr>
          <w:rFonts w:hint="eastAsia" w:ascii="仿宋_GB2312" w:hAnsi="仿宋_GB2312" w:eastAsia="仿宋_GB2312" w:cs="仿宋_GB2312"/>
          <w:sz w:val="32"/>
          <w:szCs w:val="32"/>
        </w:rPr>
        <w:t>青年教师科研项目申报成功率显著提升，学术论文数量和质量稳步提高。</w:t>
      </w:r>
    </w:p>
    <w:p w14:paraId="079F99E1">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团队建设方面：</w:t>
      </w:r>
      <w:r>
        <w:rPr>
          <w:rFonts w:hint="eastAsia" w:ascii="仿宋_GB2312" w:hAnsi="仿宋_GB2312" w:eastAsia="仿宋_GB2312" w:cs="仿宋_GB2312"/>
          <w:sz w:val="32"/>
          <w:szCs w:val="32"/>
        </w:rPr>
        <w:t>形成一批跨学科、有活力的青年教师创新团队，促进学科交叉融合。</w:t>
      </w:r>
    </w:p>
    <w:p w14:paraId="10DEFC9F">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成果转化方面：</w:t>
      </w:r>
      <w:r>
        <w:rPr>
          <w:rFonts w:hint="eastAsia" w:ascii="仿宋_GB2312" w:hAnsi="仿宋_GB2312" w:eastAsia="仿宋_GB2312" w:cs="仿宋_GB2312"/>
          <w:sz w:val="32"/>
          <w:szCs w:val="32"/>
        </w:rPr>
        <w:t>打通产学研合作渠道，促进科技成果落地转化。</w:t>
      </w:r>
    </w:p>
    <w:p w14:paraId="558E15DC">
      <w:pPr>
        <w:keepNext w:val="0"/>
        <w:keepLines w:val="0"/>
        <w:pageBreakBefore w:val="0"/>
        <w:widowControl w:val="0"/>
        <w:kinsoku/>
        <w:wordWrap/>
        <w:overflowPunct/>
        <w:topLinePunct w:val="0"/>
        <w:autoSpaceDE/>
        <w:autoSpaceDN/>
        <w:bidi w:val="0"/>
        <w:adjustRightInd/>
        <w:snapToGrid/>
        <w:spacing w:after="0" w:line="58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文化建设方面：</w:t>
      </w:r>
      <w:r>
        <w:rPr>
          <w:rFonts w:hint="eastAsia" w:ascii="仿宋_GB2312" w:hAnsi="仿宋_GB2312" w:eastAsia="仿宋_GB2312" w:cs="仿宋_GB2312"/>
          <w:sz w:val="32"/>
          <w:szCs w:val="32"/>
        </w:rPr>
        <w:t>营造积极向上、互助共进的学术生态，增强青年教师的归属感和职业幸福感。</w:t>
      </w:r>
    </w:p>
    <w:p w14:paraId="46E9784E">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5B92AF2">
      <w:pPr>
        <w:keepNext w:val="0"/>
        <w:keepLines w:val="0"/>
        <w:pageBreakBefore w:val="0"/>
        <w:widowControl w:val="0"/>
        <w:kinsoku/>
        <w:wordWrap/>
        <w:overflowPunct/>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本实施方案自发布之日起施行，由科研管理处负责解释和修订。</w:t>
      </w:r>
    </w:p>
    <w:p w14:paraId="1EBBDEB8">
      <w:pPr>
        <w:pStyle w:val="31"/>
        <w:keepNext w:val="0"/>
        <w:keepLines w:val="0"/>
        <w:pageBreakBefore w:val="0"/>
        <w:widowControl w:val="0"/>
        <w:kinsoku/>
        <w:wordWrap/>
        <w:overflowPunct/>
        <w:topLinePunct w:val="0"/>
        <w:autoSpaceDE/>
        <w:autoSpaceDN/>
        <w:bidi w:val="0"/>
        <w:adjustRightInd/>
        <w:snapToGrid/>
        <w:spacing w:after="0" w:line="580" w:lineRule="exact"/>
        <w:jc w:val="right"/>
        <w:textAlignment w:val="auto"/>
        <w:rPr>
          <w:rFonts w:hint="eastAsia" w:ascii="仿宋_GB2312" w:hAnsi="仿宋_GB2312" w:eastAsia="仿宋_GB2312" w:cs="仿宋_GB2312"/>
          <w:b/>
          <w:bCs/>
          <w:sz w:val="32"/>
          <w:szCs w:val="32"/>
        </w:rPr>
      </w:pPr>
    </w:p>
    <w:p w14:paraId="25B6EC0F">
      <w:pPr>
        <w:pStyle w:val="31"/>
        <w:keepNext w:val="0"/>
        <w:keepLines w:val="0"/>
        <w:pageBreakBefore w:val="0"/>
        <w:widowControl w:val="0"/>
        <w:kinsoku/>
        <w:wordWrap/>
        <w:overflowPunct/>
        <w:topLinePunct w:val="0"/>
        <w:autoSpaceDE/>
        <w:autoSpaceDN/>
        <w:bidi w:val="0"/>
        <w:adjustRightInd/>
        <w:snapToGrid/>
        <w:spacing w:after="0" w:line="580" w:lineRule="exact"/>
        <w:jc w:val="righ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吉首大学科研管理处</w:t>
      </w:r>
    </w:p>
    <w:p w14:paraId="25A43924">
      <w:pPr>
        <w:keepNext w:val="0"/>
        <w:keepLines w:val="0"/>
        <w:pageBreakBefore w:val="0"/>
        <w:widowControl w:val="0"/>
        <w:kinsoku/>
        <w:wordWrap w:val="0"/>
        <w:overflowPunct/>
        <w:topLinePunct w:val="0"/>
        <w:autoSpaceDE/>
        <w:autoSpaceDN/>
        <w:bidi w:val="0"/>
        <w:adjustRightInd/>
        <w:snapToGrid/>
        <w:spacing w:after="0" w:line="58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2026年6月15日</w:t>
      </w:r>
      <w:r>
        <w:rPr>
          <w:rFonts w:hint="eastAsia" w:ascii="仿宋_GB2312" w:hAnsi="仿宋_GB2312" w:eastAsia="仿宋_GB2312" w:cs="仿宋_GB2312"/>
          <w:sz w:val="32"/>
          <w:szCs w:val="32"/>
          <w:lang w:val="en-US" w:eastAsia="zh-CN"/>
        </w:rPr>
        <w:t xml:space="preserve"> </w:t>
      </w:r>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B3EE">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EE2E87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EE2E87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F8941">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A5"/>
    <w:rsid w:val="000C1D6D"/>
    <w:rsid w:val="001858C9"/>
    <w:rsid w:val="001D0EBE"/>
    <w:rsid w:val="002378B4"/>
    <w:rsid w:val="003511A5"/>
    <w:rsid w:val="007037F8"/>
    <w:rsid w:val="00755B3A"/>
    <w:rsid w:val="007B0AFF"/>
    <w:rsid w:val="009B0188"/>
    <w:rsid w:val="00AF79FA"/>
    <w:rsid w:val="00B14EFB"/>
    <w:rsid w:val="00B87DF4"/>
    <w:rsid w:val="00C64A8A"/>
    <w:rsid w:val="00C7437F"/>
    <w:rsid w:val="00D25D30"/>
    <w:rsid w:val="00E15C59"/>
    <w:rsid w:val="00F14415"/>
    <w:rsid w:val="09540C99"/>
    <w:rsid w:val="172F4AF3"/>
    <w:rsid w:val="1BE95EF7"/>
    <w:rsid w:val="1EE2697D"/>
    <w:rsid w:val="329C7470"/>
    <w:rsid w:val="32FF13C6"/>
    <w:rsid w:val="353D40D0"/>
    <w:rsid w:val="383C09C6"/>
    <w:rsid w:val="386F2B4A"/>
    <w:rsid w:val="3A2F2590"/>
    <w:rsid w:val="3BF50C59"/>
    <w:rsid w:val="3FF92B15"/>
    <w:rsid w:val="468B592A"/>
    <w:rsid w:val="4B272E10"/>
    <w:rsid w:val="56723AD9"/>
    <w:rsid w:val="623A1909"/>
    <w:rsid w:val="65C854C3"/>
    <w:rsid w:val="684E77D6"/>
    <w:rsid w:val="69B25CA9"/>
    <w:rsid w:val="78E73A5B"/>
    <w:rsid w:val="7BC167E5"/>
    <w:rsid w:val="7BE95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semiHidden/>
    <w:unhideWhenUsed/>
    <w:uiPriority w:val="99"/>
    <w:pPr>
      <w:tabs>
        <w:tab w:val="center" w:pos="4153"/>
        <w:tab w:val="right" w:pos="8306"/>
      </w:tabs>
      <w:snapToGrid w:val="0"/>
      <w:jc w:val="left"/>
    </w:pPr>
    <w:rPr>
      <w:sz w:val="18"/>
    </w:rPr>
  </w:style>
  <w:style w:type="paragraph" w:styleId="12">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uiPriority w:val="9"/>
    <w:rPr>
      <w:rFonts w:cstheme="majorBidi"/>
      <w:color w:val="104862" w:themeColor="accent1" w:themeShade="BF"/>
      <w:sz w:val="28"/>
      <w:szCs w:val="28"/>
    </w:rPr>
  </w:style>
  <w:style w:type="character" w:customStyle="1" w:styleId="22">
    <w:name w:val="标题 5 字符"/>
    <w:basedOn w:val="17"/>
    <w:link w:val="6"/>
    <w:semiHidden/>
    <w:uiPriority w:val="9"/>
    <w:rPr>
      <w:rFonts w:cstheme="majorBidi"/>
      <w:color w:val="104862" w:themeColor="accent1" w:themeShade="BF"/>
      <w:sz w:val="24"/>
    </w:rPr>
  </w:style>
  <w:style w:type="character" w:customStyle="1" w:styleId="23">
    <w:name w:val="标题 6 字符"/>
    <w:basedOn w:val="17"/>
    <w:link w:val="7"/>
    <w:semiHidden/>
    <w:uiPriority w:val="9"/>
    <w:rPr>
      <w:rFonts w:cstheme="majorBidi"/>
      <w:b/>
      <w:bCs/>
      <w:color w:val="104862" w:themeColor="accent1" w:themeShade="BF"/>
    </w:rPr>
  </w:style>
  <w:style w:type="character" w:customStyle="1" w:styleId="24">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3479</Words>
  <Characters>3548</Characters>
  <Lines>26</Lines>
  <Paragraphs>7</Paragraphs>
  <TotalTime>111</TotalTime>
  <ScaleCrop>false</ScaleCrop>
  <LinksUpToDate>false</LinksUpToDate>
  <CharactersWithSpaces>3549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2026-06-15T07:45:00Z</dcterms:created>
  <dc:creator>Admin</dc:creator>
  <cp:lastModifiedBy>笑呵呵</cp:lastModifiedBy>
  <cp:lastPrinted>2026-06-16T03:20:14Z</cp:lastPrinted>
  <dcterms:modified xsi:type="dcterms:W3CDTF">2026-06-16T03:44:50Z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eyJoZGlkIjoiN2IwMDQ1ZDEzOTU3YmQ3YzI2YmYxYjI4OTUzMzc5ZTQiLCJ1c2VySWQiOiIyOTcyODM3NTAifQ==</vt:lpwstr>
  </property>
  <property fmtid="{D5CDD505-2E9C-101B-9397-08002B2CF9AE}" pid="3" name="KSOProductBuildVer">
    <vt:lpwstr>2052-12.1.0.26895</vt:lpwstr>
  </property>
  <property fmtid="{D5CDD505-2E9C-101B-9397-08002B2CF9AE}" pid="4" name="ICV">
    <vt:lpwstr>528F8B1F56684C6F87AB7C133535BAD0_12</vt:lpwstr>
  </property>
</Properties>
</file>