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left="0" w:leftChars="0" w:firstLine="0" w:firstLineChars="0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</w:pPr>
      <w:bookmarkStart w:id="0" w:name="_GoBack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附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  <w:t>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2</w:t>
      </w:r>
    </w:p>
    <w:p>
      <w:pPr>
        <w:pStyle w:val="3"/>
        <w:spacing w:beforeAutospacing="0" w:afterAutospacing="0" w:line="600" w:lineRule="exact"/>
        <w:jc w:val="center"/>
        <w:rPr>
          <w:rFonts w:ascii="Times New Roman" w:hAnsi="Times New Roman" w:eastAsia="方正小标宋简体" w:cs="方正小标宋简体"/>
          <w:b w:val="0"/>
          <w:bCs/>
          <w:color w:val="auto"/>
          <w:sz w:val="44"/>
          <w:szCs w:val="44"/>
          <w:u w:val="none"/>
        </w:rPr>
      </w:pP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u w:val="none"/>
          <w:lang w:eastAsia="zh-CN"/>
        </w:rPr>
        <w:t>“荷尖</w:t>
      </w:r>
      <w:r>
        <w:rPr>
          <w:rFonts w:hint="eastAsia" w:ascii="Times New Roman" w:hAnsi="Times New Roman" w:eastAsia="方正小标宋简体" w:cs="方正小标宋简体"/>
          <w:b/>
          <w:bCs/>
          <w:color w:val="auto"/>
          <w:sz w:val="44"/>
          <w:szCs w:val="44"/>
          <w:u w:val="none"/>
          <w:lang w:eastAsia="zh-CN"/>
        </w:rPr>
        <w:t>”</w:t>
      </w: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u w:val="none"/>
          <w:lang w:eastAsia="zh-CN"/>
        </w:rPr>
        <w:t>人才推荐</w:t>
      </w:r>
      <w:r>
        <w:rPr>
          <w:rFonts w:ascii="Times New Roman" w:hAnsi="Times New Roman" w:eastAsia="方正小标宋简体" w:cs="方正小标宋简体"/>
          <w:b w:val="0"/>
          <w:bCs/>
          <w:color w:val="auto"/>
          <w:sz w:val="44"/>
          <w:szCs w:val="44"/>
          <w:u w:val="none"/>
        </w:rPr>
        <w:t>名额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Times New Roman" w:hAnsi="Times New Roman"/>
          <w:color w:val="auto"/>
          <w:u w:val="none"/>
        </w:rPr>
      </w:pPr>
    </w:p>
    <w:tbl>
      <w:tblPr>
        <w:tblStyle w:val="7"/>
        <w:tblW w:w="9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2472"/>
        <w:gridCol w:w="1328"/>
        <w:gridCol w:w="4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tblHeader/>
          <w:jc w:val="center"/>
        </w:trPr>
        <w:tc>
          <w:tcPr>
            <w:tcW w:w="4788" w:type="dxa"/>
            <w:gridSpan w:val="3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8"/>
                <w:szCs w:val="28"/>
                <w:u w:val="none"/>
              </w:rPr>
              <w:t>推荐单位</w:t>
            </w:r>
          </w:p>
        </w:tc>
        <w:tc>
          <w:tcPr>
            <w:tcW w:w="4412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8"/>
                <w:szCs w:val="28"/>
                <w:u w:val="none"/>
              </w:rPr>
              <w:t>限额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8"/>
                <w:szCs w:val="28"/>
                <w:u w:val="none"/>
                <w:lang w:eastAsia="zh-CN"/>
              </w:rPr>
              <w:t>数量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8"/>
                <w:szCs w:val="28"/>
                <w:u w:val="none"/>
              </w:rPr>
              <w:t>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788" w:type="dxa"/>
            <w:gridSpan w:val="3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长沙市</w:t>
            </w:r>
          </w:p>
        </w:tc>
        <w:tc>
          <w:tcPr>
            <w:tcW w:w="441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15+</w:t>
            </w:r>
            <w:r>
              <w:rPr>
                <w:rFonts w:hint="eastAsia" w:ascii="Times New Roman" w:hAnsi="Times New Roman" w:eastAsia="仿宋_GB2312" w:cs="Times New Roman"/>
                <w:i w:val="0"/>
                <w:caps w:val="0"/>
                <w:color w:val="auto"/>
                <w:spacing w:val="0"/>
                <w:kern w:val="2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4（产业集群）=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788" w:type="dxa"/>
            <w:gridSpan w:val="3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株洲市</w:t>
            </w:r>
          </w:p>
        </w:tc>
        <w:tc>
          <w:tcPr>
            <w:tcW w:w="441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5+</w:t>
            </w:r>
            <w:r>
              <w:rPr>
                <w:rFonts w:hint="eastAsia" w:ascii="Times New Roman" w:hAnsi="Times New Roman" w:eastAsia="仿宋_GB2312" w:cs="Times New Roman"/>
                <w:i w:val="0"/>
                <w:caps w:val="0"/>
                <w:color w:val="auto"/>
                <w:spacing w:val="0"/>
                <w:kern w:val="2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4（产业集群）=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788" w:type="dxa"/>
            <w:gridSpan w:val="3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湘潭市、衡阳市、岳阳市</w:t>
            </w:r>
          </w:p>
        </w:tc>
        <w:tc>
          <w:tcPr>
            <w:tcW w:w="441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788" w:type="dxa"/>
            <w:gridSpan w:val="3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其余市州</w:t>
            </w:r>
          </w:p>
        </w:tc>
        <w:tc>
          <w:tcPr>
            <w:tcW w:w="441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788" w:type="dxa"/>
            <w:gridSpan w:val="3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国家高新区</w:t>
            </w:r>
          </w:p>
        </w:tc>
        <w:tc>
          <w:tcPr>
            <w:tcW w:w="441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4788" w:type="dxa"/>
            <w:gridSpan w:val="3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省直部门</w:t>
            </w:r>
          </w:p>
        </w:tc>
        <w:tc>
          <w:tcPr>
            <w:tcW w:w="441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省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卫健委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10个，其他省直部门5个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部属高校</w:t>
            </w:r>
          </w:p>
        </w:tc>
        <w:tc>
          <w:tcPr>
            <w:tcW w:w="2472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中南大学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学校</w:t>
            </w:r>
          </w:p>
        </w:tc>
        <w:tc>
          <w:tcPr>
            <w:tcW w:w="441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15+1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5（建设学科）+3（培育学科）=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u w:val="none"/>
              </w:rPr>
            </w:pPr>
          </w:p>
        </w:tc>
        <w:tc>
          <w:tcPr>
            <w:tcW w:w="2472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132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附属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医院</w:t>
            </w:r>
          </w:p>
        </w:tc>
        <w:tc>
          <w:tcPr>
            <w:tcW w:w="441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每家增加3个名额,总计不超过9个名额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u w:val="none"/>
              </w:rPr>
            </w:pPr>
          </w:p>
        </w:tc>
        <w:tc>
          <w:tcPr>
            <w:tcW w:w="247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湖南大学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441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15+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9（建设学科）+3（培育学科）=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u w:val="none"/>
              </w:rPr>
            </w:pPr>
          </w:p>
        </w:tc>
        <w:tc>
          <w:tcPr>
            <w:tcW w:w="247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国防科技大学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441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15+1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5（建设学科）+4（培育学科）=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省属“双一流”高校</w:t>
            </w:r>
          </w:p>
        </w:tc>
        <w:tc>
          <w:tcPr>
            <w:tcW w:w="247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湖南师范大学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441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+3（建设学科）+2（培育学科）=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u w:val="none"/>
              </w:rPr>
            </w:pPr>
          </w:p>
        </w:tc>
        <w:tc>
          <w:tcPr>
            <w:tcW w:w="247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湘潭大学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441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+3（建设学科）+1（培育学科）=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u w:val="none"/>
              </w:rPr>
            </w:pPr>
          </w:p>
        </w:tc>
        <w:tc>
          <w:tcPr>
            <w:tcW w:w="247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长沙理工大学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441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10+1（培育学科）=11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u w:val="none"/>
              </w:rPr>
            </w:pPr>
          </w:p>
        </w:tc>
        <w:tc>
          <w:tcPr>
            <w:tcW w:w="247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湖南农业大学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44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10+2（培育学科）=12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u w:val="none"/>
              </w:rPr>
            </w:pPr>
          </w:p>
        </w:tc>
        <w:tc>
          <w:tcPr>
            <w:tcW w:w="247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中南林业科技大学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44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10+1（培育学科）=11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u w:val="none"/>
              </w:rPr>
            </w:pPr>
          </w:p>
        </w:tc>
        <w:tc>
          <w:tcPr>
            <w:tcW w:w="247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湖南科技大学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44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10+1（培育学科）=11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u w:val="none"/>
              </w:rPr>
            </w:pPr>
          </w:p>
        </w:tc>
        <w:tc>
          <w:tcPr>
            <w:tcW w:w="2472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湖南中医药大学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学校</w:t>
            </w:r>
          </w:p>
        </w:tc>
        <w:tc>
          <w:tcPr>
            <w:tcW w:w="44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10+1（培育学科）=11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u w:val="none"/>
              </w:rPr>
            </w:pPr>
          </w:p>
        </w:tc>
        <w:tc>
          <w:tcPr>
            <w:tcW w:w="2472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132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附属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医院</w:t>
            </w:r>
          </w:p>
        </w:tc>
        <w:tc>
          <w:tcPr>
            <w:tcW w:w="44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每家增加2个名额,总计不超过4个名额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u w:val="none"/>
              </w:rPr>
            </w:pPr>
          </w:p>
        </w:tc>
        <w:tc>
          <w:tcPr>
            <w:tcW w:w="2472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南华大学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学校</w:t>
            </w:r>
          </w:p>
        </w:tc>
        <w:tc>
          <w:tcPr>
            <w:tcW w:w="44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10+1（培育学科）=11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u w:val="none"/>
              </w:rPr>
            </w:pPr>
          </w:p>
        </w:tc>
        <w:tc>
          <w:tcPr>
            <w:tcW w:w="2472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132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附属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医院</w:t>
            </w:r>
          </w:p>
        </w:tc>
        <w:tc>
          <w:tcPr>
            <w:tcW w:w="44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每家增加2个名额,总计不超过4个名额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u w:val="none"/>
              </w:rPr>
            </w:pPr>
          </w:p>
        </w:tc>
        <w:tc>
          <w:tcPr>
            <w:tcW w:w="247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湖南工业大学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44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10+1（培育学科）=11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0" w:type="dxa"/>
            <w:gridSpan w:val="2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其余非“双一流”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省属本科院校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44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具有直接推荐权限的科研院所</w:t>
            </w:r>
          </w:p>
        </w:tc>
        <w:tc>
          <w:tcPr>
            <w:tcW w:w="44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5</w:t>
            </w:r>
          </w:p>
        </w:tc>
      </w:tr>
    </w:tbl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Style w:val="9"/>
          <w:rFonts w:hint="eastAsia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auto"/>
          <w:lang w:val="en-US" w:eastAsia="zh-CN" w:bidi="ar"/>
        </w:rPr>
      </w:pPr>
      <w:r>
        <w:rPr>
          <w:rStyle w:val="9"/>
          <w:rFonts w:hint="eastAsia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auto"/>
          <w:lang w:val="en-US" w:eastAsia="zh-CN" w:bidi="ar"/>
        </w:rPr>
        <w:t>备注：高校推荐限额主要根据湖南省第二轮“双一流”建设高校和建设学科名单分配。同时，对世界一流建设学科高校每个建设学科增加3个名额，对世界一流培育学科高校每个培育学科增加1个名额。根据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auto"/>
          <w:lang w:val="en-US" w:eastAsia="zh-CN" w:bidi="ar"/>
        </w:rPr>
        <w:fldChar w:fldCharType="begin"/>
      </w:r>
      <w:r>
        <w:rPr>
          <w:rStyle w:val="9"/>
          <w:rFonts w:hint="eastAsia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auto"/>
          <w:lang w:val="en-US" w:eastAsia="zh-CN" w:bidi="ar"/>
        </w:rPr>
        <w:instrText xml:space="preserve"> HYPERLINK "https://baike.baidu.com/item/%E5%B7%A5%E4%BF%A1%E9%83%A8/930732?fromModule=lemma_inlink" \t "/home/greatwall/文档\\x/_blank" </w:instrTex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auto"/>
          <w:lang w:val="en-US" w:eastAsia="zh-CN" w:bidi="ar"/>
        </w:rPr>
        <w:fldChar w:fldCharType="separate"/>
      </w:r>
      <w:r>
        <w:rPr>
          <w:rStyle w:val="9"/>
          <w:rFonts w:hint="eastAsia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auto"/>
          <w:lang w:val="en-US" w:eastAsia="zh-CN" w:bidi="ar"/>
        </w:rPr>
        <w:t>工信部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auto"/>
          <w:lang w:val="en-US" w:eastAsia="zh-CN" w:bidi="ar"/>
        </w:rPr>
        <w:fldChar w:fldCharType="end"/>
      </w:r>
      <w:r>
        <w:rPr>
          <w:rStyle w:val="9"/>
          <w:rFonts w:hint="eastAsia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auto"/>
          <w:lang w:val="en-US" w:eastAsia="zh-CN" w:bidi="ar"/>
        </w:rPr>
        <w:t>公布45个国家先进制造业集群名单（长沙市、株洲市各2个集群），对我省国家先进制造业集群增加推荐名额，每个集群增加2个名额。增加名额只能在世界一流建设学科、世界一流培育学科、国家先进制造业集群相关科技创新企业内推荐，并在推荐函中注明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0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B0813"/>
    <w:rsid w:val="953FA1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1"/>
    <w:basedOn w:val="1"/>
    <w:next w:val="1"/>
    <w:qFormat/>
    <w:uiPriority w:val="0"/>
    <w:pPr>
      <w:spacing w:before="100" w:beforeAutospacing="1" w:after="100" w:afterAutospacing="1"/>
      <w:jc w:val="left"/>
      <w:textAlignment w:val="baseline"/>
    </w:pPr>
    <w:rPr>
      <w:rFonts w:ascii="宋体" w:hAnsi="宋体" w:eastAsia="宋体" w:cs="Times New Roman"/>
      <w:b/>
      <w:kern w:val="44"/>
      <w:sz w:val="48"/>
      <w:szCs w:val="48"/>
      <w:lang w:val="en-US" w:eastAsia="zh-CN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endnote text"/>
    <w:basedOn w:val="1"/>
    <w:qFormat/>
    <w:uiPriority w:val="0"/>
    <w:pPr>
      <w:snapToGrid w:val="0"/>
      <w:jc w:val="left"/>
    </w:pPr>
  </w:style>
  <w:style w:type="paragraph" w:styleId="6">
    <w:name w:val="Body Text First Indent 2"/>
    <w:basedOn w:val="4"/>
    <w:qFormat/>
    <w:uiPriority w:val="0"/>
    <w:pPr>
      <w:ind w:firstLine="420" w:firstLineChars="200"/>
    </w:pPr>
    <w:rPr>
      <w:rFonts w:ascii="等线" w:hAnsi="等线" w:eastAsia="等线" w:cs="Times New Roman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Char"/>
    <w:basedOn w:val="1"/>
    <w:qFormat/>
    <w:uiPriority w:val="0"/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greatwall</cp:lastModifiedBy>
  <dcterms:modified xsi:type="dcterms:W3CDTF">2023-03-29T15:58:17Z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